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1D" w:rsidRDefault="006A5030">
      <w:pPr>
        <w:pStyle w:val="Heading1"/>
        <w:jc w:val="left"/>
        <w:rPr>
          <w:rFonts w:ascii="Garamond" w:eastAsia="MS Mincho" w:hAnsi="Garamond"/>
          <w:caps/>
          <w:color w:val="003399"/>
          <w:spacing w:val="60"/>
          <w:kern w:val="20"/>
          <w:sz w:val="48"/>
          <w:szCs w:val="48"/>
          <w:lang w:val="nl-NL" w:eastAsia="ja-JP"/>
        </w:rPr>
      </w:pPr>
      <w:r>
        <w:rPr>
          <w:rFonts w:ascii="Garamond" w:eastAsia="MS Mincho" w:hAnsi="Garamond"/>
          <w:caps/>
          <w:color w:val="003399"/>
          <w:spacing w:val="60"/>
          <w:kern w:val="20"/>
          <w:sz w:val="48"/>
          <w:szCs w:val="48"/>
          <w:lang w:val="nl-NL" w:eastAsia="ja-JP"/>
        </w:rPr>
        <w:t xml:space="preserve">Transport </w:t>
      </w:r>
      <w:r w:rsidR="00E3261D">
        <w:rPr>
          <w:rFonts w:ascii="Garamond" w:eastAsia="MS Mincho" w:hAnsi="Garamond"/>
          <w:caps/>
          <w:color w:val="003399"/>
          <w:spacing w:val="60"/>
          <w:kern w:val="20"/>
          <w:sz w:val="48"/>
          <w:szCs w:val="48"/>
          <w:lang w:val="nl-NL" w:eastAsia="ja-JP"/>
        </w:rPr>
        <w:t xml:space="preserve">Detailed </w:t>
      </w:r>
      <w:r w:rsidR="00815D9C">
        <w:rPr>
          <w:rFonts w:ascii="Garamond" w:eastAsia="MS Mincho" w:hAnsi="Garamond"/>
          <w:caps/>
          <w:color w:val="003399"/>
          <w:spacing w:val="60"/>
          <w:kern w:val="20"/>
          <w:sz w:val="48"/>
          <w:szCs w:val="48"/>
          <w:lang w:val="nl-NL" w:eastAsia="ja-JP"/>
        </w:rPr>
        <w:t>results</w:t>
      </w:r>
      <w:r w:rsidR="00577891">
        <w:rPr>
          <w:rFonts w:ascii="Garamond" w:eastAsia="MS Mincho" w:hAnsi="Garamond"/>
          <w:caps/>
          <w:color w:val="003399"/>
          <w:spacing w:val="60"/>
          <w:kern w:val="20"/>
          <w:sz w:val="48"/>
          <w:szCs w:val="48"/>
          <w:lang w:val="nl-NL" w:eastAsia="ja-JP"/>
        </w:rPr>
        <w:t xml:space="preserve"> Tables</w:t>
      </w:r>
    </w:p>
    <w:p w:rsidR="00E3261D" w:rsidRDefault="00E3261D">
      <w:pPr>
        <w:rPr>
          <w:lang w:val="nl-NL"/>
        </w:rPr>
      </w:pPr>
    </w:p>
    <w:p w:rsidR="006C3D39" w:rsidRDefault="006C3D39" w:rsidP="006C3D39">
      <w:pPr>
        <w:pStyle w:val="Heading2"/>
        <w:spacing w:before="0" w:after="120"/>
        <w:rPr>
          <w:rFonts w:ascii="Garamond" w:eastAsia="MS Mincho" w:hAnsi="Garamond" w:cs="Times New Roman"/>
          <w:iCs w:val="0"/>
          <w:caps/>
          <w:smallCaps w:val="0"/>
          <w:color w:val="003399"/>
          <w:kern w:val="20"/>
          <w:sz w:val="24"/>
          <w:szCs w:val="24"/>
          <w:lang w:val="en-GB" w:eastAsia="en-US"/>
        </w:rPr>
        <w:sectPr w:rsidR="006C3D39" w:rsidSect="006C3D39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3D39" w:rsidRPr="001A6C63" w:rsidRDefault="006C3D39" w:rsidP="006C3D39">
      <w:pPr>
        <w:pStyle w:val="Heading2"/>
        <w:spacing w:before="0" w:after="120"/>
        <w:rPr>
          <w:rFonts w:ascii="Garamond" w:eastAsia="MS Mincho" w:hAnsi="Garamond" w:cs="Times New Roman"/>
          <w:iCs w:val="0"/>
          <w:caps/>
          <w:smallCaps w:val="0"/>
          <w:color w:val="003399"/>
          <w:kern w:val="20"/>
          <w:sz w:val="24"/>
          <w:szCs w:val="24"/>
          <w:lang w:val="en-GB" w:eastAsia="en-US"/>
        </w:rPr>
      </w:pPr>
      <w:r w:rsidRPr="001A6C63">
        <w:rPr>
          <w:rFonts w:ascii="Garamond" w:eastAsia="MS Mincho" w:hAnsi="Garamond" w:cs="Times New Roman"/>
          <w:iCs w:val="0"/>
          <w:caps/>
          <w:smallCaps w:val="0"/>
          <w:color w:val="003399"/>
          <w:kern w:val="20"/>
          <w:sz w:val="24"/>
          <w:szCs w:val="24"/>
          <w:lang w:val="en-GB" w:eastAsia="en-US"/>
        </w:rPr>
        <w:lastRenderedPageBreak/>
        <w:t>Introduction</w:t>
      </w:r>
    </w:p>
    <w:p w:rsidR="006C3D39" w:rsidRDefault="006C3D39" w:rsidP="009E297D">
      <w:pPr>
        <w:pStyle w:val="BodyText"/>
      </w:pPr>
      <w:r w:rsidRPr="00E43F89">
        <w:t xml:space="preserve">The </w:t>
      </w:r>
      <w:r w:rsidR="004D0225" w:rsidRPr="004D0225">
        <w:t xml:space="preserve">Transport </w:t>
      </w:r>
      <w:r w:rsidR="00E3261D">
        <w:t>Detailed</w:t>
      </w:r>
      <w:r w:rsidR="004D0225" w:rsidRPr="004D0225">
        <w:t xml:space="preserve"> Results Tables</w:t>
      </w:r>
      <w:r w:rsidRPr="00815D9C">
        <w:rPr>
          <w:i/>
        </w:rPr>
        <w:t xml:space="preserve"> </w:t>
      </w:r>
      <w:r>
        <w:t>provide</w:t>
      </w:r>
      <w:r w:rsidRPr="003A6025">
        <w:t xml:space="preserve"> </w:t>
      </w:r>
      <w:r w:rsidR="00E3261D">
        <w:t>graphs and tables of the</w:t>
      </w:r>
      <w:r w:rsidR="00815D9C">
        <w:t xml:space="preserve"> data behind the </w:t>
      </w:r>
      <w:r w:rsidR="00796508">
        <w:rPr>
          <w:i/>
        </w:rPr>
        <w:t>Alternative Urban Development</w:t>
      </w:r>
      <w:r w:rsidR="00815D9C">
        <w:t xml:space="preserve"> and </w:t>
      </w:r>
      <w:r w:rsidR="00815D9C" w:rsidRPr="00815D9C">
        <w:rPr>
          <w:i/>
        </w:rPr>
        <w:t>Virtual Clean Car Race</w:t>
      </w:r>
      <w:r>
        <w:t xml:space="preserve"> </w:t>
      </w:r>
      <w:r w:rsidR="00815D9C">
        <w:t>scenarios</w:t>
      </w:r>
      <w:r>
        <w:t xml:space="preserve"> for each </w:t>
      </w:r>
      <w:r w:rsidRPr="003A6025">
        <w:t>APEC member economy.</w:t>
      </w:r>
    </w:p>
    <w:p w:rsidR="00E3261D" w:rsidRDefault="00BC73A1">
      <w:pPr>
        <w:pStyle w:val="BodyText"/>
      </w:pPr>
      <w:r>
        <w:t xml:space="preserve">The first two </w:t>
      </w:r>
      <w:r w:rsidR="00577891">
        <w:t xml:space="preserve">data </w:t>
      </w:r>
      <w:r>
        <w:t>sheets are graph</w:t>
      </w:r>
      <w:r w:rsidR="00796508">
        <w:t>s</w:t>
      </w:r>
      <w:r>
        <w:t xml:space="preserve"> of </w:t>
      </w:r>
      <w:r w:rsidR="00796508">
        <w:t xml:space="preserve">the </w:t>
      </w:r>
      <w:r>
        <w:t xml:space="preserve">key variables </w:t>
      </w:r>
      <w:r w:rsidR="00E43F89">
        <w:t xml:space="preserve">for </w:t>
      </w:r>
      <w:r>
        <w:t xml:space="preserve">the </w:t>
      </w:r>
      <w:r w:rsidR="00796508" w:rsidRPr="00577891">
        <w:rPr>
          <w:i/>
        </w:rPr>
        <w:t>Alternative Urban Development</w:t>
      </w:r>
      <w:r w:rsidR="00815D9C">
        <w:t xml:space="preserve"> and </w:t>
      </w:r>
      <w:r w:rsidR="00815D9C" w:rsidRPr="00577891">
        <w:rPr>
          <w:i/>
        </w:rPr>
        <w:t>Virtual Clean Car Race</w:t>
      </w:r>
      <w:r>
        <w:t xml:space="preserve"> </w:t>
      </w:r>
      <w:r w:rsidR="00815D9C">
        <w:t>scenarios</w:t>
      </w:r>
      <w:r w:rsidR="00796508">
        <w:t>,</w:t>
      </w:r>
      <w:r w:rsidR="00815D9C">
        <w:t xml:space="preserve"> respectively</w:t>
      </w:r>
      <w:r w:rsidR="00796508">
        <w:t>, along with the tables of the underlying numbers</w:t>
      </w:r>
      <w:r w:rsidR="00A76D48">
        <w:t xml:space="preserve">. </w:t>
      </w:r>
      <w:r>
        <w:t>At the top of each of the</w:t>
      </w:r>
      <w:r w:rsidR="00453358">
        <w:t>se</w:t>
      </w:r>
      <w:r>
        <w:t xml:space="preserve"> sheets is a drop</w:t>
      </w:r>
      <w:r w:rsidR="00796508">
        <w:t>-</w:t>
      </w:r>
      <w:r>
        <w:t>down menu which enables the user to select the APEC economy of interest</w:t>
      </w:r>
      <w:r w:rsidR="00F66A70">
        <w:t xml:space="preserve"> or “All APEC”</w:t>
      </w:r>
      <w:r>
        <w:t xml:space="preserve">. Once an economy has been selected the graphs </w:t>
      </w:r>
      <w:r w:rsidR="00577891">
        <w:t xml:space="preserve">and tables </w:t>
      </w:r>
      <w:r w:rsidR="00E43F89">
        <w:t xml:space="preserve">within that </w:t>
      </w:r>
      <w:r w:rsidR="00577891">
        <w:t xml:space="preserve">sheet </w:t>
      </w:r>
      <w:r>
        <w:t xml:space="preserve">automatically </w:t>
      </w:r>
      <w:r w:rsidR="00577891">
        <w:t>switch</w:t>
      </w:r>
      <w:r>
        <w:t xml:space="preserve"> to the </w:t>
      </w:r>
      <w:r w:rsidR="00577891">
        <w:t>selected</w:t>
      </w:r>
      <w:r>
        <w:t xml:space="preserve"> economy. </w:t>
      </w:r>
      <w:r w:rsidR="00E43F89">
        <w:t>The</w:t>
      </w:r>
      <w:r w:rsidR="00577891">
        <w:t xml:space="preserve"> graphs are the same as those included in the </w:t>
      </w:r>
      <w:r w:rsidR="004D0225" w:rsidRPr="004D0225">
        <w:rPr>
          <w:i/>
        </w:rPr>
        <w:t>Outlook 5th Edition</w:t>
      </w:r>
      <w:r w:rsidR="00577891">
        <w:t xml:space="preserve"> Economy Reviews of each </w:t>
      </w:r>
      <w:r w:rsidR="00577891" w:rsidRPr="006C3D39">
        <w:t>APEC economy</w:t>
      </w:r>
      <w:r w:rsidR="00577891">
        <w:t>.</w:t>
      </w:r>
    </w:p>
    <w:p w:rsidR="00E3261D" w:rsidRDefault="00E3261D">
      <w:pPr>
        <w:pStyle w:val="BodyText"/>
        <w:ind w:firstLine="0"/>
      </w:pPr>
    </w:p>
    <w:p w:rsidR="006C3D39" w:rsidRDefault="000D4AA1" w:rsidP="006C3D39">
      <w:pPr>
        <w:pStyle w:val="Heading2"/>
        <w:spacing w:before="0" w:after="120"/>
        <w:rPr>
          <w:rFonts w:ascii="Garamond" w:eastAsia="MS Mincho" w:hAnsi="Garamond" w:cs="Times New Roman"/>
          <w:iCs w:val="0"/>
          <w:caps/>
          <w:smallCaps w:val="0"/>
          <w:color w:val="003399"/>
          <w:kern w:val="20"/>
          <w:sz w:val="24"/>
          <w:szCs w:val="24"/>
          <w:lang w:val="en-GB" w:eastAsia="en-US"/>
        </w:rPr>
      </w:pPr>
      <w:r>
        <w:rPr>
          <w:rFonts w:ascii="Garamond" w:eastAsia="MS Mincho" w:hAnsi="Garamond" w:cs="Times New Roman"/>
          <w:iCs w:val="0"/>
          <w:caps/>
          <w:smallCaps w:val="0"/>
          <w:color w:val="003399"/>
          <w:kern w:val="20"/>
          <w:sz w:val="24"/>
          <w:szCs w:val="24"/>
          <w:lang w:val="en-GB" w:eastAsia="en-US"/>
        </w:rPr>
        <w:t xml:space="preserve">The Data </w:t>
      </w:r>
      <w:r w:rsidR="00E43F89">
        <w:rPr>
          <w:rFonts w:ascii="Garamond" w:eastAsia="MS Mincho" w:hAnsi="Garamond" w:cs="Times New Roman"/>
          <w:iCs w:val="0"/>
          <w:caps/>
          <w:smallCaps w:val="0"/>
          <w:color w:val="003399"/>
          <w:kern w:val="20"/>
          <w:sz w:val="24"/>
          <w:szCs w:val="24"/>
          <w:lang w:val="en-GB" w:eastAsia="en-US"/>
        </w:rPr>
        <w:t>S</w:t>
      </w:r>
      <w:r w:rsidR="00453358">
        <w:rPr>
          <w:rFonts w:ascii="Garamond" w:eastAsia="MS Mincho" w:hAnsi="Garamond" w:cs="Times New Roman"/>
          <w:iCs w:val="0"/>
          <w:caps/>
          <w:smallCaps w:val="0"/>
          <w:color w:val="003399"/>
          <w:kern w:val="20"/>
          <w:sz w:val="24"/>
          <w:szCs w:val="24"/>
          <w:lang w:val="en-GB" w:eastAsia="en-US"/>
        </w:rPr>
        <w:t>heet</w:t>
      </w:r>
      <w:r>
        <w:rPr>
          <w:rFonts w:ascii="Garamond" w:eastAsia="MS Mincho" w:hAnsi="Garamond" w:cs="Times New Roman"/>
          <w:iCs w:val="0"/>
          <w:caps/>
          <w:smallCaps w:val="0"/>
          <w:color w:val="003399"/>
          <w:kern w:val="20"/>
          <w:sz w:val="24"/>
          <w:szCs w:val="24"/>
          <w:lang w:val="en-GB" w:eastAsia="en-US"/>
        </w:rPr>
        <w:t>s</w:t>
      </w:r>
    </w:p>
    <w:p w:rsidR="006A5030" w:rsidRPr="006C3D39" w:rsidRDefault="006A5030" w:rsidP="00DE43FE">
      <w:pPr>
        <w:spacing w:line="240" w:lineRule="atLeast"/>
        <w:jc w:val="both"/>
        <w:rPr>
          <w:rFonts w:ascii="Garamond" w:hAnsi="Garamond"/>
        </w:rPr>
      </w:pPr>
      <w:r w:rsidRPr="006C3D39">
        <w:rPr>
          <w:rFonts w:ascii="Garamond" w:hAnsi="Garamond"/>
        </w:rPr>
        <w:t xml:space="preserve">A description of each </w:t>
      </w:r>
      <w:r w:rsidR="00E43F89">
        <w:rPr>
          <w:rFonts w:ascii="Garamond" w:hAnsi="Garamond"/>
        </w:rPr>
        <w:t xml:space="preserve">data </w:t>
      </w:r>
      <w:r w:rsidRPr="006C3D39">
        <w:rPr>
          <w:rFonts w:ascii="Garamond" w:hAnsi="Garamond"/>
        </w:rPr>
        <w:t xml:space="preserve">sheet is </w:t>
      </w:r>
      <w:r w:rsidR="00E43F89">
        <w:rPr>
          <w:rFonts w:ascii="Garamond" w:hAnsi="Garamond"/>
        </w:rPr>
        <w:t>given below.</w:t>
      </w:r>
    </w:p>
    <w:p w:rsidR="009E297D" w:rsidRPr="00796508" w:rsidRDefault="006A5030" w:rsidP="00796508">
      <w:pPr>
        <w:pStyle w:val="Heading3"/>
        <w:spacing w:before="180" w:after="60" w:line="220" w:lineRule="exact"/>
        <w:rPr>
          <w:b/>
        </w:rPr>
      </w:pPr>
      <w:r w:rsidRPr="00796508">
        <w:rPr>
          <w:b/>
        </w:rPr>
        <w:t>Graph Urban Planning</w:t>
      </w:r>
    </w:p>
    <w:p w:rsidR="006A5030" w:rsidRPr="006C3D39" w:rsidRDefault="000D4AA1" w:rsidP="00DE43FE">
      <w:pPr>
        <w:spacing w:line="240" w:lineRule="atLeas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This data </w:t>
      </w:r>
      <w:r w:rsidR="00577891">
        <w:rPr>
          <w:rFonts w:ascii="Garamond" w:hAnsi="Garamond"/>
        </w:rPr>
        <w:t xml:space="preserve">sheet shows graphs and tables of the underlying numbers </w:t>
      </w:r>
      <w:r w:rsidR="00815D9C">
        <w:rPr>
          <w:rFonts w:ascii="Garamond" w:hAnsi="Garamond"/>
        </w:rPr>
        <w:t xml:space="preserve">for the </w:t>
      </w:r>
      <w:r w:rsidR="00577891">
        <w:rPr>
          <w:rFonts w:ascii="Garamond" w:hAnsi="Garamond"/>
        </w:rPr>
        <w:t xml:space="preserve">key variables in the </w:t>
      </w:r>
      <w:r>
        <w:rPr>
          <w:rFonts w:ascii="Garamond" w:hAnsi="Garamond"/>
        </w:rPr>
        <w:t xml:space="preserve">four </w:t>
      </w:r>
      <w:r w:rsidR="004D0225" w:rsidRPr="004D0225">
        <w:rPr>
          <w:rFonts w:ascii="Garamond" w:eastAsia="MS Mincho" w:hAnsi="Garamond" w:cs="Times New Roman"/>
          <w:i/>
          <w:szCs w:val="20"/>
          <w:lang w:val="en-GB" w:eastAsia="en-US"/>
        </w:rPr>
        <w:t>Alternative Urban Development</w:t>
      </w:r>
      <w:r w:rsidR="00815D9C" w:rsidRPr="00815D9C">
        <w:rPr>
          <w:rFonts w:ascii="Garamond" w:hAnsi="Garamond"/>
          <w:i/>
        </w:rPr>
        <w:t xml:space="preserve"> </w:t>
      </w:r>
      <w:r w:rsidR="00815D9C">
        <w:rPr>
          <w:rFonts w:ascii="Garamond" w:hAnsi="Garamond"/>
        </w:rPr>
        <w:t>scenarios</w:t>
      </w:r>
      <w:r>
        <w:rPr>
          <w:rFonts w:ascii="Garamond" w:hAnsi="Garamond"/>
        </w:rPr>
        <w:t>: Business-as-Usual (BAU), High Sprawl, Constant Density and Fixed Urban Land</w:t>
      </w:r>
      <w:r w:rsidR="00577891">
        <w:rPr>
          <w:rFonts w:ascii="Garamond" w:hAnsi="Garamond"/>
        </w:rPr>
        <w:t xml:space="preserve">.  </w:t>
      </w:r>
      <w:r>
        <w:rPr>
          <w:rFonts w:ascii="Garamond" w:hAnsi="Garamond"/>
        </w:rPr>
        <w:t xml:space="preserve">These scenarios are described in the </w:t>
      </w:r>
      <w:r>
        <w:rPr>
          <w:rFonts w:ascii="Garamond" w:hAnsi="Garamond"/>
          <w:i/>
        </w:rPr>
        <w:t>Outlook – 5</w:t>
      </w:r>
      <w:r w:rsidR="004D0225" w:rsidRPr="004D0225">
        <w:rPr>
          <w:rFonts w:ascii="Garamond" w:hAnsi="Garamond"/>
          <w:i/>
          <w:vertAlign w:val="superscript"/>
        </w:rPr>
        <w:t>th</w:t>
      </w:r>
      <w:r>
        <w:rPr>
          <w:rFonts w:ascii="Garamond" w:hAnsi="Garamond"/>
          <w:i/>
        </w:rPr>
        <w:t xml:space="preserve"> Edition </w:t>
      </w:r>
      <w:r w:rsidR="007D3327">
        <w:rPr>
          <w:rFonts w:ascii="Garamond" w:hAnsi="Garamond"/>
        </w:rPr>
        <w:t>C</w:t>
      </w:r>
      <w:r>
        <w:rPr>
          <w:rFonts w:ascii="Garamond" w:hAnsi="Garamond"/>
        </w:rPr>
        <w:t xml:space="preserve">hapter 5.  </w:t>
      </w:r>
      <w:r w:rsidR="00577891">
        <w:rPr>
          <w:rFonts w:ascii="Garamond" w:hAnsi="Garamond"/>
        </w:rPr>
        <w:t xml:space="preserve">The key variables are </w:t>
      </w:r>
      <w:r w:rsidR="006A5030" w:rsidRPr="006C3D39">
        <w:rPr>
          <w:rFonts w:ascii="Garamond" w:hAnsi="Garamond"/>
        </w:rPr>
        <w:t>Vehicle Ownership, Light Vehicle Oil Use and Light Vehicle C</w:t>
      </w:r>
      <w:r w:rsidR="00577891">
        <w:rPr>
          <w:rFonts w:ascii="Garamond" w:hAnsi="Garamond"/>
        </w:rPr>
        <w:t>O</w:t>
      </w:r>
      <w:r w:rsidR="006A5030" w:rsidRPr="00A76D48">
        <w:rPr>
          <w:rFonts w:ascii="Garamond" w:hAnsi="Garamond"/>
          <w:vertAlign w:val="subscript"/>
        </w:rPr>
        <w:t>2</w:t>
      </w:r>
      <w:r w:rsidR="006A5030" w:rsidRPr="006C3D39">
        <w:rPr>
          <w:rFonts w:ascii="Garamond" w:hAnsi="Garamond"/>
        </w:rPr>
        <w:t xml:space="preserve"> Emissions</w:t>
      </w:r>
      <w:r w:rsidR="00577891">
        <w:rPr>
          <w:rFonts w:ascii="Garamond" w:hAnsi="Garamond"/>
        </w:rPr>
        <w:t xml:space="preserve">.  </w:t>
      </w:r>
    </w:p>
    <w:p w:rsidR="009E297D" w:rsidRPr="00796508" w:rsidRDefault="00F66A70" w:rsidP="00796508">
      <w:pPr>
        <w:pStyle w:val="Heading3"/>
        <w:spacing w:before="180" w:after="60" w:line="220" w:lineRule="exact"/>
        <w:rPr>
          <w:b/>
        </w:rPr>
      </w:pPr>
      <w:r>
        <w:rPr>
          <w:b/>
        </w:rPr>
        <w:t>Graph VIRTUAL</w:t>
      </w:r>
      <w:r w:rsidR="006A5030" w:rsidRPr="00796508">
        <w:rPr>
          <w:b/>
        </w:rPr>
        <w:t xml:space="preserve"> Clean Car Race</w:t>
      </w:r>
    </w:p>
    <w:p w:rsidR="00E3261D" w:rsidRDefault="004D0225">
      <w:pPr>
        <w:spacing w:line="240" w:lineRule="atLeast"/>
        <w:jc w:val="both"/>
        <w:rPr>
          <w:caps/>
        </w:rPr>
      </w:pPr>
      <w:r w:rsidRPr="004D0225">
        <w:rPr>
          <w:rFonts w:ascii="Garamond" w:hAnsi="Garamond"/>
        </w:rPr>
        <w:t xml:space="preserve">This data sheet shows graphs and tables of the underlying numbers for the key variables in the four </w:t>
      </w:r>
      <w:r w:rsidRPr="004D0225">
        <w:rPr>
          <w:rFonts w:ascii="Garamond" w:hAnsi="Garamond"/>
          <w:i/>
        </w:rPr>
        <w:t>Virtual Clean Car Race</w:t>
      </w:r>
      <w:r w:rsidR="000D4AA1">
        <w:rPr>
          <w:rFonts w:ascii="Garamond" w:hAnsi="Garamond"/>
        </w:rPr>
        <w:t xml:space="preserve"> scenarios: Business-as-Usual, Hyper Car, Electric Vehicles (EV), Hydrogen Fuel Cell Vehicles (HFCV) and Natural Gas Vehicles (NGV).</w:t>
      </w:r>
      <w:r w:rsidR="007D3327">
        <w:rPr>
          <w:rFonts w:ascii="Garamond" w:hAnsi="Garamond"/>
        </w:rPr>
        <w:t xml:space="preserve"> </w:t>
      </w:r>
      <w:r w:rsidRPr="004D0225">
        <w:rPr>
          <w:rFonts w:ascii="Garamond" w:hAnsi="Garamond"/>
        </w:rPr>
        <w:t xml:space="preserve">These scenarios are described in the </w:t>
      </w:r>
      <w:r w:rsidRPr="004D0225">
        <w:rPr>
          <w:rFonts w:ascii="Garamond" w:hAnsi="Garamond"/>
          <w:i/>
        </w:rPr>
        <w:t>Outlook – 5th Edition</w:t>
      </w:r>
      <w:r w:rsidRPr="004D0225">
        <w:rPr>
          <w:rFonts w:ascii="Garamond" w:hAnsi="Garamond"/>
        </w:rPr>
        <w:t xml:space="preserve"> </w:t>
      </w:r>
      <w:r w:rsidR="007D3327">
        <w:rPr>
          <w:rFonts w:ascii="Garamond" w:hAnsi="Garamond"/>
        </w:rPr>
        <w:t>C</w:t>
      </w:r>
      <w:r w:rsidRPr="004D0225">
        <w:rPr>
          <w:rFonts w:ascii="Garamond" w:hAnsi="Garamond"/>
        </w:rPr>
        <w:t>hapter 5.  The key variables are Vehicle Ownership, Light Vehicle Oil Use and Light Vehicle CO</w:t>
      </w:r>
      <w:r w:rsidRPr="004D0225">
        <w:rPr>
          <w:rFonts w:ascii="Garamond" w:hAnsi="Garamond"/>
          <w:vertAlign w:val="subscript"/>
        </w:rPr>
        <w:t>2</w:t>
      </w:r>
      <w:r w:rsidRPr="004D0225">
        <w:rPr>
          <w:rFonts w:ascii="Garamond" w:hAnsi="Garamond"/>
        </w:rPr>
        <w:t xml:space="preserve"> Emissions.  </w:t>
      </w:r>
    </w:p>
    <w:p w:rsidR="00F66A70" w:rsidRPr="00796508" w:rsidRDefault="00F66A70" w:rsidP="00F66A70">
      <w:pPr>
        <w:pStyle w:val="Heading3"/>
        <w:spacing w:before="180" w:after="60" w:line="220" w:lineRule="exact"/>
        <w:rPr>
          <w:b/>
        </w:rPr>
      </w:pPr>
      <w:r w:rsidRPr="00796508">
        <w:rPr>
          <w:b/>
        </w:rPr>
        <w:lastRenderedPageBreak/>
        <w:t>Vehicle</w:t>
      </w:r>
      <w:r>
        <w:rPr>
          <w:b/>
        </w:rPr>
        <w:t xml:space="preserve"> Ownership</w:t>
      </w:r>
    </w:p>
    <w:p w:rsidR="00F66A70" w:rsidRPr="006C3D39" w:rsidRDefault="00F66A70" w:rsidP="00F66A70">
      <w:pPr>
        <w:spacing w:line="240" w:lineRule="atLeast"/>
        <w:jc w:val="both"/>
        <w:rPr>
          <w:rFonts w:ascii="Garamond" w:hAnsi="Garamond"/>
        </w:rPr>
      </w:pPr>
      <w:r w:rsidRPr="006C3D39">
        <w:rPr>
          <w:rFonts w:ascii="Garamond" w:hAnsi="Garamond"/>
        </w:rPr>
        <w:t xml:space="preserve">This </w:t>
      </w:r>
      <w:r>
        <w:rPr>
          <w:rFonts w:ascii="Garamond" w:hAnsi="Garamond"/>
        </w:rPr>
        <w:t>data sheet</w:t>
      </w:r>
      <w:r w:rsidRPr="006C3D39">
        <w:rPr>
          <w:rFonts w:ascii="Garamond" w:hAnsi="Garamond"/>
        </w:rPr>
        <w:t xml:space="preserve"> </w:t>
      </w:r>
      <w:r>
        <w:rPr>
          <w:rFonts w:ascii="Garamond" w:hAnsi="Garamond"/>
        </w:rPr>
        <w:t>shows</w:t>
      </w:r>
      <w:r w:rsidRPr="006C3D39">
        <w:rPr>
          <w:rFonts w:ascii="Garamond" w:hAnsi="Garamond"/>
        </w:rPr>
        <w:t xml:space="preserve"> the change in</w:t>
      </w:r>
      <w:r>
        <w:rPr>
          <w:rFonts w:ascii="Garamond" w:hAnsi="Garamond"/>
        </w:rPr>
        <w:t xml:space="preserve"> the total</w:t>
      </w:r>
      <w:r w:rsidRPr="006C3D39">
        <w:rPr>
          <w:rFonts w:ascii="Garamond" w:hAnsi="Garamond"/>
        </w:rPr>
        <w:t xml:space="preserve"> vehicle ownership per 1000 people</w:t>
      </w:r>
      <w:r>
        <w:rPr>
          <w:rFonts w:ascii="Garamond" w:hAnsi="Garamond"/>
        </w:rPr>
        <w:t xml:space="preserve"> (light and heavy vehicles)</w:t>
      </w:r>
      <w:r w:rsidRPr="006C3D39">
        <w:rPr>
          <w:rFonts w:ascii="Garamond" w:hAnsi="Garamond"/>
        </w:rPr>
        <w:t xml:space="preserve"> </w:t>
      </w:r>
      <w:r>
        <w:rPr>
          <w:rFonts w:ascii="Garamond" w:hAnsi="Garamond"/>
        </w:rPr>
        <w:t>for</w:t>
      </w:r>
      <w:r w:rsidRPr="006C3D3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each </w:t>
      </w:r>
      <w:r>
        <w:rPr>
          <w:rFonts w:ascii="Garamond" w:hAnsi="Garamond"/>
          <w:i/>
        </w:rPr>
        <w:t>Alternative Urban Development</w:t>
      </w:r>
      <w:r>
        <w:rPr>
          <w:rFonts w:ascii="Garamond" w:hAnsi="Garamond"/>
        </w:rPr>
        <w:t xml:space="preserve"> scenario for each</w:t>
      </w:r>
      <w:r w:rsidRPr="006C3D39">
        <w:rPr>
          <w:rFonts w:ascii="Garamond" w:hAnsi="Garamond"/>
        </w:rPr>
        <w:t xml:space="preserve"> APEC member economy.</w:t>
      </w:r>
      <w:r>
        <w:rPr>
          <w:rFonts w:ascii="Garamond" w:hAnsi="Garamond"/>
        </w:rPr>
        <w:t xml:space="preserve">  As vehicle ownership in the </w:t>
      </w:r>
      <w:r>
        <w:rPr>
          <w:rFonts w:ascii="Garamond" w:hAnsi="Garamond"/>
          <w:i/>
        </w:rPr>
        <w:t xml:space="preserve">Virtual Clean Car </w:t>
      </w:r>
      <w:r w:rsidRPr="007D3327">
        <w:rPr>
          <w:rFonts w:ascii="Garamond" w:hAnsi="Garamond"/>
          <w:i/>
        </w:rPr>
        <w:t>R</w:t>
      </w:r>
      <w:r>
        <w:rPr>
          <w:rFonts w:ascii="Garamond" w:hAnsi="Garamond"/>
          <w:i/>
        </w:rPr>
        <w:t>ace</w:t>
      </w:r>
      <w:r w:rsidRPr="006C3D39">
        <w:rPr>
          <w:rFonts w:ascii="Garamond" w:hAnsi="Garamond"/>
        </w:rPr>
        <w:t xml:space="preserve"> </w:t>
      </w:r>
      <w:r>
        <w:rPr>
          <w:rFonts w:ascii="Garamond" w:hAnsi="Garamond"/>
        </w:rPr>
        <w:t>scenarios is unchanged from the BAU case, no data is presented for those scenarios.</w:t>
      </w:r>
    </w:p>
    <w:p w:rsidR="00F66A70" w:rsidRPr="00796508" w:rsidRDefault="00F66A70" w:rsidP="00F66A70">
      <w:pPr>
        <w:pStyle w:val="Heading3"/>
        <w:spacing w:before="180" w:after="60" w:line="220" w:lineRule="exact"/>
        <w:rPr>
          <w:b/>
        </w:rPr>
      </w:pPr>
      <w:r>
        <w:rPr>
          <w:b/>
        </w:rPr>
        <w:t>Oil Use</w:t>
      </w:r>
    </w:p>
    <w:p w:rsidR="00F66A70" w:rsidRPr="006C3D39" w:rsidRDefault="00F66A70" w:rsidP="00F66A70">
      <w:pPr>
        <w:spacing w:line="240" w:lineRule="atLeast"/>
        <w:jc w:val="both"/>
        <w:rPr>
          <w:rFonts w:ascii="Garamond" w:hAnsi="Garamond"/>
        </w:rPr>
      </w:pPr>
      <w:r w:rsidRPr="006C3D39">
        <w:rPr>
          <w:rFonts w:ascii="Garamond" w:hAnsi="Garamond"/>
        </w:rPr>
        <w:t xml:space="preserve">This </w:t>
      </w:r>
      <w:r>
        <w:rPr>
          <w:rFonts w:ascii="Garamond" w:hAnsi="Garamond"/>
        </w:rPr>
        <w:t>data sheet</w:t>
      </w:r>
      <w:r w:rsidRPr="006C3D3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shows the total </w:t>
      </w:r>
      <w:r w:rsidRPr="006C3D39">
        <w:rPr>
          <w:rFonts w:ascii="Garamond" w:hAnsi="Garamond"/>
        </w:rPr>
        <w:t>oil use</w:t>
      </w:r>
      <w:r>
        <w:rPr>
          <w:rFonts w:ascii="Garamond" w:hAnsi="Garamond"/>
        </w:rPr>
        <w:t xml:space="preserve"> each year</w:t>
      </w:r>
      <w:r w:rsidRPr="006C3D39">
        <w:rPr>
          <w:rFonts w:ascii="Garamond" w:hAnsi="Garamond"/>
        </w:rPr>
        <w:t xml:space="preserve"> in</w:t>
      </w:r>
      <w:r>
        <w:rPr>
          <w:rFonts w:ascii="Garamond" w:hAnsi="Garamond"/>
        </w:rPr>
        <w:t xml:space="preserve"> the light vehicle fleet </w:t>
      </w:r>
      <w:r w:rsidRPr="006C3D39">
        <w:rPr>
          <w:rFonts w:ascii="Garamond" w:hAnsi="Garamond"/>
        </w:rPr>
        <w:t xml:space="preserve">across </w:t>
      </w:r>
      <w:r>
        <w:rPr>
          <w:rFonts w:ascii="Garamond" w:hAnsi="Garamond"/>
        </w:rPr>
        <w:t xml:space="preserve">both the </w:t>
      </w:r>
      <w:r>
        <w:rPr>
          <w:rFonts w:ascii="Garamond" w:hAnsi="Garamond"/>
          <w:i/>
        </w:rPr>
        <w:t>Alternative Urban Development</w:t>
      </w:r>
      <w:r>
        <w:rPr>
          <w:rFonts w:ascii="Garamond" w:hAnsi="Garamond"/>
        </w:rPr>
        <w:t xml:space="preserve"> and </w:t>
      </w:r>
      <w:r>
        <w:rPr>
          <w:rFonts w:ascii="Garamond" w:hAnsi="Garamond"/>
          <w:i/>
        </w:rPr>
        <w:t xml:space="preserve">Virtual Clean Car </w:t>
      </w:r>
      <w:r w:rsidRPr="007D3327">
        <w:rPr>
          <w:rFonts w:ascii="Garamond" w:hAnsi="Garamond"/>
          <w:i/>
        </w:rPr>
        <w:t>R</w:t>
      </w:r>
      <w:r>
        <w:rPr>
          <w:rFonts w:ascii="Garamond" w:hAnsi="Garamond"/>
          <w:i/>
        </w:rPr>
        <w:t>ace</w:t>
      </w:r>
      <w:r w:rsidRPr="006C3D3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alternative </w:t>
      </w:r>
      <w:r w:rsidRPr="006C3D39">
        <w:rPr>
          <w:rFonts w:ascii="Garamond" w:hAnsi="Garamond"/>
        </w:rPr>
        <w:t xml:space="preserve">scenarios for each APEC member economy. </w:t>
      </w:r>
      <w:r>
        <w:rPr>
          <w:rFonts w:ascii="Garamond" w:hAnsi="Garamond"/>
        </w:rPr>
        <w:t>A</w:t>
      </w:r>
      <w:r w:rsidRPr="006C3D39">
        <w:rPr>
          <w:rFonts w:ascii="Garamond" w:hAnsi="Garamond"/>
        </w:rPr>
        <w:t xml:space="preserve"> table</w:t>
      </w:r>
      <w:r>
        <w:rPr>
          <w:rFonts w:ascii="Garamond" w:hAnsi="Garamond"/>
        </w:rPr>
        <w:t xml:space="preserve"> is provided for each scenario</w:t>
      </w:r>
      <w:r w:rsidRPr="006C3D39">
        <w:rPr>
          <w:rFonts w:ascii="Garamond" w:hAnsi="Garamond"/>
        </w:rPr>
        <w:t>.</w:t>
      </w:r>
    </w:p>
    <w:p w:rsidR="009E297D" w:rsidRPr="00796508" w:rsidRDefault="009E297D" w:rsidP="00796508">
      <w:pPr>
        <w:pStyle w:val="Heading3"/>
        <w:spacing w:before="180" w:after="60" w:line="220" w:lineRule="exact"/>
        <w:rPr>
          <w:b/>
        </w:rPr>
      </w:pPr>
      <w:r w:rsidRPr="00796508">
        <w:rPr>
          <w:b/>
        </w:rPr>
        <w:t>C</w:t>
      </w:r>
      <w:r w:rsidR="007D3327">
        <w:rPr>
          <w:b/>
        </w:rPr>
        <w:t>O</w:t>
      </w:r>
      <w:r w:rsidRPr="00796508">
        <w:rPr>
          <w:b/>
        </w:rPr>
        <w:t>2</w:t>
      </w:r>
      <w:r w:rsidR="006A5030" w:rsidRPr="00796508">
        <w:rPr>
          <w:b/>
        </w:rPr>
        <w:t xml:space="preserve"> Emissions </w:t>
      </w:r>
    </w:p>
    <w:p w:rsidR="006A5030" w:rsidRPr="006C3D39" w:rsidRDefault="006A5030" w:rsidP="00DE43FE">
      <w:pPr>
        <w:spacing w:line="240" w:lineRule="atLeast"/>
        <w:jc w:val="both"/>
        <w:rPr>
          <w:rFonts w:ascii="Garamond" w:hAnsi="Garamond"/>
        </w:rPr>
      </w:pPr>
      <w:r w:rsidRPr="006C3D39">
        <w:rPr>
          <w:rFonts w:ascii="Garamond" w:hAnsi="Garamond"/>
        </w:rPr>
        <w:t xml:space="preserve">This </w:t>
      </w:r>
      <w:r w:rsidR="007D3327">
        <w:rPr>
          <w:rFonts w:ascii="Garamond" w:hAnsi="Garamond"/>
        </w:rPr>
        <w:t xml:space="preserve">data </w:t>
      </w:r>
      <w:r w:rsidRPr="006C3D39">
        <w:rPr>
          <w:rFonts w:ascii="Garamond" w:hAnsi="Garamond"/>
        </w:rPr>
        <w:t xml:space="preserve">sheet </w:t>
      </w:r>
      <w:r w:rsidR="007D3327">
        <w:rPr>
          <w:rFonts w:ascii="Garamond" w:hAnsi="Garamond"/>
        </w:rPr>
        <w:t xml:space="preserve">shows the </w:t>
      </w:r>
      <w:r w:rsidRPr="006C3D39">
        <w:rPr>
          <w:rFonts w:ascii="Garamond" w:hAnsi="Garamond"/>
        </w:rPr>
        <w:t>calculat</w:t>
      </w:r>
      <w:r w:rsidR="00F66A70">
        <w:rPr>
          <w:rFonts w:ascii="Garamond" w:hAnsi="Garamond"/>
        </w:rPr>
        <w:t>ion of</w:t>
      </w:r>
      <w:r w:rsidRPr="006C3D39">
        <w:rPr>
          <w:rFonts w:ascii="Garamond" w:hAnsi="Garamond"/>
        </w:rPr>
        <w:t xml:space="preserve"> C</w:t>
      </w:r>
      <w:r w:rsidR="007D3327">
        <w:rPr>
          <w:rFonts w:ascii="Garamond" w:hAnsi="Garamond"/>
        </w:rPr>
        <w:t>O</w:t>
      </w:r>
      <w:r w:rsidRPr="009E297D">
        <w:rPr>
          <w:rFonts w:ascii="Garamond" w:hAnsi="Garamond"/>
          <w:vertAlign w:val="subscript"/>
        </w:rPr>
        <w:t>2</w:t>
      </w:r>
      <w:r w:rsidRPr="006C3D39">
        <w:rPr>
          <w:rFonts w:ascii="Garamond" w:hAnsi="Garamond"/>
        </w:rPr>
        <w:t xml:space="preserve"> emissions </w:t>
      </w:r>
      <w:r w:rsidR="007D3327">
        <w:rPr>
          <w:rFonts w:ascii="Garamond" w:hAnsi="Garamond"/>
        </w:rPr>
        <w:t>for</w:t>
      </w:r>
      <w:r w:rsidRPr="006C3D39">
        <w:rPr>
          <w:rFonts w:ascii="Garamond" w:hAnsi="Garamond"/>
        </w:rPr>
        <w:t xml:space="preserve"> the light vehicle fleet across </w:t>
      </w:r>
      <w:r w:rsidR="00815D9C">
        <w:rPr>
          <w:rFonts w:ascii="Garamond" w:hAnsi="Garamond"/>
        </w:rPr>
        <w:t xml:space="preserve">both the </w:t>
      </w:r>
      <w:r w:rsidR="007D3327">
        <w:rPr>
          <w:rFonts w:ascii="Garamond" w:hAnsi="Garamond"/>
          <w:i/>
        </w:rPr>
        <w:t>Alternative Urban Development</w:t>
      </w:r>
      <w:r w:rsidR="00815D9C">
        <w:rPr>
          <w:rFonts w:ascii="Garamond" w:hAnsi="Garamond"/>
        </w:rPr>
        <w:t xml:space="preserve"> and </w:t>
      </w:r>
      <w:r w:rsidR="00815D9C">
        <w:rPr>
          <w:rFonts w:ascii="Garamond" w:hAnsi="Garamond"/>
          <w:i/>
        </w:rPr>
        <w:t xml:space="preserve">Virtual Clean Car </w:t>
      </w:r>
      <w:r w:rsidR="00815D9C" w:rsidRPr="007D3327">
        <w:rPr>
          <w:rFonts w:ascii="Garamond" w:hAnsi="Garamond"/>
          <w:i/>
        </w:rPr>
        <w:t>R</w:t>
      </w:r>
      <w:r w:rsidR="00815D9C">
        <w:rPr>
          <w:rFonts w:ascii="Garamond" w:hAnsi="Garamond"/>
          <w:i/>
        </w:rPr>
        <w:t>ace</w:t>
      </w:r>
      <w:r w:rsidR="00815D9C" w:rsidRPr="006C3D39">
        <w:rPr>
          <w:rFonts w:ascii="Garamond" w:hAnsi="Garamond"/>
        </w:rPr>
        <w:t xml:space="preserve"> </w:t>
      </w:r>
      <w:r w:rsidRPr="006C3D39">
        <w:rPr>
          <w:rFonts w:ascii="Garamond" w:hAnsi="Garamond"/>
        </w:rPr>
        <w:t xml:space="preserve">scenarios for each APEC member economy. This calculation is broken into </w:t>
      </w:r>
      <w:r w:rsidR="007D3327">
        <w:rPr>
          <w:rFonts w:ascii="Garamond" w:hAnsi="Garamond"/>
        </w:rPr>
        <w:t>three elements, listed left to right</w:t>
      </w:r>
      <w:r w:rsidRPr="006C3D39">
        <w:rPr>
          <w:rFonts w:ascii="Garamond" w:hAnsi="Garamond"/>
        </w:rPr>
        <w:t xml:space="preserve">. The </w:t>
      </w:r>
      <w:r w:rsidR="007D3327">
        <w:rPr>
          <w:rFonts w:ascii="Garamond" w:hAnsi="Garamond"/>
        </w:rPr>
        <w:t>first element</w:t>
      </w:r>
      <w:r w:rsidRPr="006C3D39">
        <w:rPr>
          <w:rFonts w:ascii="Garamond" w:hAnsi="Garamond"/>
        </w:rPr>
        <w:t xml:space="preserve"> is</w:t>
      </w:r>
      <w:r w:rsidR="00815D9C">
        <w:rPr>
          <w:rFonts w:ascii="Garamond" w:hAnsi="Garamond"/>
        </w:rPr>
        <w:t xml:space="preserve"> the</w:t>
      </w:r>
      <w:r w:rsidRPr="006C3D39">
        <w:rPr>
          <w:rFonts w:ascii="Garamond" w:hAnsi="Garamond"/>
        </w:rPr>
        <w:t xml:space="preserve"> indirect C</w:t>
      </w:r>
      <w:r w:rsidR="007D3327">
        <w:rPr>
          <w:rFonts w:ascii="Garamond" w:hAnsi="Garamond"/>
        </w:rPr>
        <w:t>O</w:t>
      </w:r>
      <w:r w:rsidRPr="009E297D">
        <w:rPr>
          <w:rFonts w:ascii="Garamond" w:hAnsi="Garamond"/>
          <w:vertAlign w:val="subscript"/>
        </w:rPr>
        <w:t>2</w:t>
      </w:r>
      <w:r w:rsidRPr="006C3D39">
        <w:rPr>
          <w:rFonts w:ascii="Garamond" w:hAnsi="Garamond"/>
        </w:rPr>
        <w:t xml:space="preserve"> emissions from</w:t>
      </w:r>
      <w:r w:rsidR="00815D9C">
        <w:rPr>
          <w:rFonts w:ascii="Garamond" w:hAnsi="Garamond"/>
        </w:rPr>
        <w:t xml:space="preserve"> the production</w:t>
      </w:r>
      <w:r w:rsidRPr="006C3D39">
        <w:rPr>
          <w:rFonts w:ascii="Garamond" w:hAnsi="Garamond"/>
        </w:rPr>
        <w:t xml:space="preserve"> of hydrogen </w:t>
      </w:r>
      <w:r w:rsidR="00815D9C">
        <w:rPr>
          <w:rFonts w:ascii="Garamond" w:hAnsi="Garamond"/>
        </w:rPr>
        <w:t>for use in</w:t>
      </w:r>
      <w:r w:rsidRPr="006C3D39">
        <w:rPr>
          <w:rFonts w:ascii="Garamond" w:hAnsi="Garamond"/>
        </w:rPr>
        <w:t xml:space="preserve"> hydrogen fuel cell vehicles. The</w:t>
      </w:r>
      <w:r w:rsidR="007D3327">
        <w:rPr>
          <w:rFonts w:ascii="Garamond" w:hAnsi="Garamond"/>
          <w:vertAlign w:val="superscript"/>
        </w:rPr>
        <w:t xml:space="preserve"> </w:t>
      </w:r>
      <w:r w:rsidR="007D3327">
        <w:rPr>
          <w:rFonts w:ascii="Garamond" w:hAnsi="Garamond"/>
        </w:rPr>
        <w:t>second</w:t>
      </w:r>
      <w:r w:rsidRPr="006C3D39">
        <w:rPr>
          <w:rFonts w:ascii="Garamond" w:hAnsi="Garamond"/>
        </w:rPr>
        <w:t xml:space="preserve"> </w:t>
      </w:r>
      <w:r w:rsidR="007D3327">
        <w:rPr>
          <w:rFonts w:ascii="Garamond" w:hAnsi="Garamond"/>
        </w:rPr>
        <w:t xml:space="preserve">element </w:t>
      </w:r>
      <w:r w:rsidRPr="006C3D39">
        <w:rPr>
          <w:rFonts w:ascii="Garamond" w:hAnsi="Garamond"/>
        </w:rPr>
        <w:t>is</w:t>
      </w:r>
      <w:r w:rsidR="00815D9C">
        <w:rPr>
          <w:rFonts w:ascii="Garamond" w:hAnsi="Garamond"/>
        </w:rPr>
        <w:t xml:space="preserve"> the</w:t>
      </w:r>
      <w:r w:rsidRPr="006C3D39">
        <w:rPr>
          <w:rFonts w:ascii="Garamond" w:hAnsi="Garamond"/>
        </w:rPr>
        <w:t xml:space="preserve"> indirect C</w:t>
      </w:r>
      <w:r w:rsidR="007D3327">
        <w:rPr>
          <w:rFonts w:ascii="Garamond" w:hAnsi="Garamond"/>
        </w:rPr>
        <w:t>O</w:t>
      </w:r>
      <w:r w:rsidRPr="009E297D">
        <w:rPr>
          <w:rFonts w:ascii="Garamond" w:hAnsi="Garamond"/>
          <w:vertAlign w:val="subscript"/>
        </w:rPr>
        <w:t>2</w:t>
      </w:r>
      <w:r w:rsidRPr="006C3D39">
        <w:rPr>
          <w:rFonts w:ascii="Garamond" w:hAnsi="Garamond"/>
        </w:rPr>
        <w:t xml:space="preserve"> emissions from the </w:t>
      </w:r>
      <w:r w:rsidR="00815D9C">
        <w:rPr>
          <w:rFonts w:ascii="Garamond" w:hAnsi="Garamond"/>
        </w:rPr>
        <w:t>production</w:t>
      </w:r>
      <w:r w:rsidRPr="006C3D39">
        <w:rPr>
          <w:rFonts w:ascii="Garamond" w:hAnsi="Garamond"/>
        </w:rPr>
        <w:t xml:space="preserve"> of electricity </w:t>
      </w:r>
      <w:r w:rsidR="00815D9C">
        <w:rPr>
          <w:rFonts w:ascii="Garamond" w:hAnsi="Garamond"/>
        </w:rPr>
        <w:t>for use in</w:t>
      </w:r>
      <w:r w:rsidRPr="006C3D39">
        <w:rPr>
          <w:rFonts w:ascii="Garamond" w:hAnsi="Garamond"/>
        </w:rPr>
        <w:t xml:space="preserve"> plug-in hybrid and fully electric vehicles. The final </w:t>
      </w:r>
      <w:r w:rsidR="007D3327">
        <w:rPr>
          <w:rFonts w:ascii="Garamond" w:hAnsi="Garamond"/>
        </w:rPr>
        <w:t>element</w:t>
      </w:r>
      <w:r w:rsidRPr="006C3D39">
        <w:rPr>
          <w:rFonts w:ascii="Garamond" w:hAnsi="Garamond"/>
        </w:rPr>
        <w:t xml:space="preserve"> is the C</w:t>
      </w:r>
      <w:r w:rsidR="007D3327">
        <w:rPr>
          <w:rFonts w:ascii="Garamond" w:hAnsi="Garamond"/>
        </w:rPr>
        <w:t>O</w:t>
      </w:r>
      <w:r w:rsidRPr="009E297D">
        <w:rPr>
          <w:rFonts w:ascii="Garamond" w:hAnsi="Garamond"/>
          <w:vertAlign w:val="subscript"/>
        </w:rPr>
        <w:t>2</w:t>
      </w:r>
      <w:r w:rsidRPr="006C3D39">
        <w:rPr>
          <w:rFonts w:ascii="Garamond" w:hAnsi="Garamond"/>
        </w:rPr>
        <w:t xml:space="preserve"> emission</w:t>
      </w:r>
      <w:r w:rsidR="007D3327">
        <w:rPr>
          <w:rFonts w:ascii="Garamond" w:hAnsi="Garamond"/>
        </w:rPr>
        <w:t>s</w:t>
      </w:r>
      <w:r w:rsidRPr="006C3D39">
        <w:rPr>
          <w:rFonts w:ascii="Garamond" w:hAnsi="Garamond"/>
        </w:rPr>
        <w:t xml:space="preserve"> from the direct use of </w:t>
      </w:r>
      <w:r w:rsidR="007D3327">
        <w:rPr>
          <w:rFonts w:ascii="Garamond" w:hAnsi="Garamond"/>
        </w:rPr>
        <w:t>o</w:t>
      </w:r>
      <w:r w:rsidRPr="006C3D39">
        <w:rPr>
          <w:rFonts w:ascii="Garamond" w:hAnsi="Garamond"/>
        </w:rPr>
        <w:t xml:space="preserve">il and </w:t>
      </w:r>
      <w:r w:rsidR="00F66A70">
        <w:rPr>
          <w:rFonts w:ascii="Garamond" w:hAnsi="Garamond"/>
        </w:rPr>
        <w:t xml:space="preserve">natural </w:t>
      </w:r>
      <w:r w:rsidR="007D3327">
        <w:rPr>
          <w:rFonts w:ascii="Garamond" w:hAnsi="Garamond"/>
        </w:rPr>
        <w:t>g</w:t>
      </w:r>
      <w:r w:rsidRPr="006C3D39">
        <w:rPr>
          <w:rFonts w:ascii="Garamond" w:hAnsi="Garamond"/>
        </w:rPr>
        <w:t xml:space="preserve">as in conventional vehicles and natural gas vehicles. Total emissions are </w:t>
      </w:r>
      <w:r w:rsidR="007D3327">
        <w:rPr>
          <w:rFonts w:ascii="Garamond" w:hAnsi="Garamond"/>
        </w:rPr>
        <w:t>the sum of all three elements</w:t>
      </w:r>
      <w:r w:rsidRPr="006C3D39">
        <w:rPr>
          <w:rFonts w:ascii="Garamond" w:hAnsi="Garamond"/>
        </w:rPr>
        <w:t>.</w:t>
      </w:r>
    </w:p>
    <w:p w:rsidR="009E297D" w:rsidRPr="00796508" w:rsidRDefault="006A5030" w:rsidP="00796508">
      <w:pPr>
        <w:pStyle w:val="Heading3"/>
        <w:spacing w:before="180" w:after="60" w:line="220" w:lineRule="exact"/>
        <w:rPr>
          <w:b/>
        </w:rPr>
      </w:pPr>
      <w:r w:rsidRPr="00796508">
        <w:rPr>
          <w:b/>
        </w:rPr>
        <w:t>Veh</w:t>
      </w:r>
      <w:r w:rsidR="00F66A70">
        <w:rPr>
          <w:b/>
        </w:rPr>
        <w:t>icle</w:t>
      </w:r>
      <w:r w:rsidRPr="00796508">
        <w:rPr>
          <w:b/>
        </w:rPr>
        <w:t xml:space="preserve"> Sales Share</w:t>
      </w:r>
      <w:r w:rsidR="00F66A70">
        <w:rPr>
          <w:b/>
        </w:rPr>
        <w:t>s</w:t>
      </w:r>
      <w:r w:rsidRPr="00796508">
        <w:rPr>
          <w:b/>
        </w:rPr>
        <w:t xml:space="preserve"> </w:t>
      </w:r>
      <w:r w:rsidR="00253C05">
        <w:rPr>
          <w:b/>
        </w:rPr>
        <w:t xml:space="preserve"> </w:t>
      </w:r>
    </w:p>
    <w:p w:rsidR="00F66A70" w:rsidRDefault="00F660C5" w:rsidP="00F660C5">
      <w:pPr>
        <w:spacing w:line="240" w:lineRule="atLeast"/>
        <w:jc w:val="both"/>
        <w:rPr>
          <w:rFonts w:ascii="Garamond" w:eastAsia="MS Mincho" w:hAnsi="Garamond" w:cs="Times New Roman"/>
          <w:b/>
          <w:caps/>
          <w:color w:val="003399"/>
          <w:kern w:val="20"/>
          <w:sz w:val="20"/>
          <w:szCs w:val="20"/>
          <w:lang w:val="en-GB" w:eastAsia="en-US"/>
        </w:rPr>
      </w:pPr>
      <w:r>
        <w:rPr>
          <w:rFonts w:ascii="Garamond" w:hAnsi="Garamond"/>
        </w:rPr>
        <w:t>The upper table of t</w:t>
      </w:r>
      <w:r w:rsidRPr="006C3D39">
        <w:rPr>
          <w:rFonts w:ascii="Garamond" w:hAnsi="Garamond"/>
        </w:rPr>
        <w:t>h</w:t>
      </w:r>
      <w:r>
        <w:rPr>
          <w:rFonts w:ascii="Garamond" w:hAnsi="Garamond"/>
        </w:rPr>
        <w:t>is</w:t>
      </w:r>
      <w:r w:rsidRPr="006C3D39">
        <w:rPr>
          <w:rFonts w:ascii="Garamond" w:hAnsi="Garamond"/>
        </w:rPr>
        <w:t xml:space="preserve"> </w:t>
      </w:r>
      <w:r>
        <w:rPr>
          <w:rFonts w:ascii="Garamond" w:hAnsi="Garamond"/>
        </w:rPr>
        <w:t>data sheet</w:t>
      </w:r>
      <w:r w:rsidRPr="006C3D3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shows the total sales of light vehicles </w:t>
      </w:r>
      <w:r w:rsidRPr="006C3D39">
        <w:rPr>
          <w:rFonts w:ascii="Garamond" w:hAnsi="Garamond"/>
        </w:rPr>
        <w:t xml:space="preserve">for the </w:t>
      </w:r>
      <w:r>
        <w:rPr>
          <w:rFonts w:ascii="Garamond" w:hAnsi="Garamond"/>
        </w:rPr>
        <w:t xml:space="preserve">BAU scenario and the four </w:t>
      </w:r>
      <w:r>
        <w:rPr>
          <w:rFonts w:ascii="Garamond" w:hAnsi="Garamond"/>
          <w:i/>
        </w:rPr>
        <w:t>Virtual Clean Car Race</w:t>
      </w:r>
      <w:r w:rsidRPr="006C3D3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scenarios </w:t>
      </w:r>
      <w:r w:rsidRPr="006C3D39">
        <w:rPr>
          <w:rFonts w:ascii="Garamond" w:hAnsi="Garamond"/>
        </w:rPr>
        <w:t>for each APEC member economy from 2009-2035</w:t>
      </w:r>
      <w:r>
        <w:rPr>
          <w:rFonts w:ascii="Garamond" w:hAnsi="Garamond"/>
        </w:rPr>
        <w:t xml:space="preserve">.  The BAU scenario and all four </w:t>
      </w:r>
      <w:r>
        <w:rPr>
          <w:rFonts w:ascii="Garamond" w:hAnsi="Garamond"/>
          <w:i/>
        </w:rPr>
        <w:t>Virtual Clean Car Race</w:t>
      </w:r>
      <w:r w:rsidRPr="006C3D3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scenarios have the same light vehicle sales.  The middle table of this data sheet shows the sales share of alternative vehicles as a percentage of all light vehicle sales in the BAU scenario for each APEC member economy from 2009-2035.  The lower table of this data sheet shows the sales share </w:t>
      </w:r>
      <w:r>
        <w:rPr>
          <w:rFonts w:ascii="Garamond" w:hAnsi="Garamond"/>
        </w:rPr>
        <w:lastRenderedPageBreak/>
        <w:t xml:space="preserve">of alternative vehicles as a percentage of all light vehicle sales in the </w:t>
      </w:r>
      <w:r w:rsidRPr="008E3FFF">
        <w:rPr>
          <w:rFonts w:ascii="Garamond" w:hAnsi="Garamond"/>
          <w:i/>
        </w:rPr>
        <w:t>Virtual Clean Car Race</w:t>
      </w:r>
      <w:r>
        <w:rPr>
          <w:rFonts w:ascii="Garamond" w:hAnsi="Garamond"/>
        </w:rPr>
        <w:t xml:space="preserve"> scenarios.  All four </w:t>
      </w:r>
      <w:r w:rsidRPr="008E3FFF">
        <w:rPr>
          <w:rFonts w:ascii="Garamond" w:hAnsi="Garamond"/>
          <w:i/>
        </w:rPr>
        <w:t xml:space="preserve">Virtual Clean Car Race </w:t>
      </w:r>
      <w:r>
        <w:rPr>
          <w:rFonts w:ascii="Garamond" w:hAnsi="Garamond"/>
        </w:rPr>
        <w:t>scenarios have the same sales share of alternative vehicles.</w:t>
      </w:r>
    </w:p>
    <w:p w:rsidR="00E3261D" w:rsidRDefault="002E5F3B">
      <w:pPr>
        <w:pStyle w:val="Heading3"/>
        <w:spacing w:before="180" w:after="60" w:line="220" w:lineRule="exact"/>
        <w:rPr>
          <w:b/>
        </w:rPr>
      </w:pPr>
      <w:r w:rsidRPr="00796508">
        <w:rPr>
          <w:b/>
        </w:rPr>
        <w:t>Veh</w:t>
      </w:r>
      <w:r w:rsidR="00F66A70">
        <w:rPr>
          <w:b/>
        </w:rPr>
        <w:t>icle</w:t>
      </w:r>
      <w:r w:rsidRPr="00796508">
        <w:rPr>
          <w:b/>
        </w:rPr>
        <w:t xml:space="preserve"> Fleet Share</w:t>
      </w:r>
      <w:r w:rsidR="00F66A70">
        <w:rPr>
          <w:b/>
        </w:rPr>
        <w:t>s</w:t>
      </w:r>
    </w:p>
    <w:p w:rsidR="00F660C5" w:rsidRDefault="00F660C5" w:rsidP="00F660C5">
      <w:pPr>
        <w:spacing w:line="240" w:lineRule="atLeast"/>
        <w:jc w:val="both"/>
        <w:rPr>
          <w:rFonts w:ascii="Garamond" w:hAnsi="Garamond"/>
        </w:rPr>
      </w:pPr>
      <w:r w:rsidRPr="006C3D39">
        <w:rPr>
          <w:rFonts w:ascii="Garamond" w:hAnsi="Garamond"/>
        </w:rPr>
        <w:t>Th</w:t>
      </w:r>
      <w:r>
        <w:rPr>
          <w:rFonts w:ascii="Garamond" w:hAnsi="Garamond"/>
        </w:rPr>
        <w:t>is</w:t>
      </w:r>
      <w:r w:rsidRPr="006C3D39">
        <w:rPr>
          <w:rFonts w:ascii="Garamond" w:hAnsi="Garamond"/>
        </w:rPr>
        <w:t xml:space="preserve"> </w:t>
      </w:r>
      <w:r>
        <w:rPr>
          <w:rFonts w:ascii="Garamond" w:hAnsi="Garamond"/>
        </w:rPr>
        <w:t>upper table of this data sheet</w:t>
      </w:r>
      <w:r w:rsidRPr="006C3D3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shows the share of alternative vehicles in the light vehicle fleet in each economy </w:t>
      </w:r>
      <w:r w:rsidRPr="006C3D39">
        <w:rPr>
          <w:rFonts w:ascii="Garamond" w:hAnsi="Garamond"/>
        </w:rPr>
        <w:t xml:space="preserve">for the </w:t>
      </w:r>
      <w:r>
        <w:rPr>
          <w:rFonts w:ascii="Garamond" w:hAnsi="Garamond"/>
        </w:rPr>
        <w:t xml:space="preserve">BAU scenario </w:t>
      </w:r>
      <w:r w:rsidRPr="006C3D39">
        <w:rPr>
          <w:rFonts w:ascii="Garamond" w:hAnsi="Garamond"/>
        </w:rPr>
        <w:t xml:space="preserve">for each </w:t>
      </w:r>
      <w:r w:rsidRPr="006C3D39">
        <w:rPr>
          <w:rFonts w:ascii="Garamond" w:hAnsi="Garamond"/>
        </w:rPr>
        <w:lastRenderedPageBreak/>
        <w:t>APEC member economy from 2009-2035</w:t>
      </w:r>
      <w:r>
        <w:rPr>
          <w:rFonts w:ascii="Garamond" w:hAnsi="Garamond"/>
        </w:rPr>
        <w:t xml:space="preserve">.  The lower table of this data sheet shows the share of alternative vehicles in the light vehicle fleet in each APEC member economy from 2009-2035.  All four </w:t>
      </w:r>
      <w:r w:rsidRPr="002E5F3B">
        <w:rPr>
          <w:rFonts w:ascii="Garamond" w:hAnsi="Garamond"/>
          <w:i/>
        </w:rPr>
        <w:t>Virtual Clean Car Race</w:t>
      </w:r>
      <w:r>
        <w:rPr>
          <w:rFonts w:ascii="Garamond" w:hAnsi="Garamond"/>
        </w:rPr>
        <w:t xml:space="preserve"> scenarios have the same share of alternative vehicles in the light vehicle fleet.</w:t>
      </w:r>
    </w:p>
    <w:p w:rsidR="00E3261D" w:rsidRDefault="002E5F3B" w:rsidP="002E5F3B">
      <w:pPr>
        <w:spacing w:line="240" w:lineRule="atLeast"/>
        <w:jc w:val="both"/>
        <w:rPr>
          <w:rFonts w:ascii="Garamond" w:hAnsi="Garamond"/>
        </w:rPr>
        <w:sectPr w:rsidR="00E3261D" w:rsidSect="006A503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Garamond" w:hAnsi="Garamond"/>
        </w:rPr>
        <w:t xml:space="preserve"> </w:t>
      </w:r>
      <w:r w:rsidR="004D0225" w:rsidRPr="004D0225">
        <w:rPr>
          <w:rFonts w:ascii="Garamond" w:hAnsi="Garamond"/>
        </w:rPr>
        <w:t xml:space="preserve"> </w:t>
      </w:r>
    </w:p>
    <w:p w:rsidR="00E3261D" w:rsidRPr="00E3261D" w:rsidRDefault="00E3261D" w:rsidP="00E3261D"/>
    <w:sectPr w:rsidR="00E3261D" w:rsidRPr="00E3261D" w:rsidSect="006C3D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61D" w:rsidRDefault="00E3261D" w:rsidP="00815D9C">
      <w:pPr>
        <w:spacing w:after="0" w:line="240" w:lineRule="auto"/>
      </w:pPr>
      <w:r>
        <w:separator/>
      </w:r>
    </w:p>
  </w:endnote>
  <w:endnote w:type="continuationSeparator" w:id="0">
    <w:p w:rsidR="00E3261D" w:rsidRDefault="00E3261D" w:rsidP="0081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79172"/>
      <w:docPartObj>
        <w:docPartGallery w:val="Page Numbers (Bottom of Page)"/>
        <w:docPartUnique/>
      </w:docPartObj>
    </w:sdtPr>
    <w:sdtContent>
      <w:sdt>
        <w:sdtPr>
          <w:id w:val="3559688"/>
          <w:docPartObj>
            <w:docPartGallery w:val="Page Numbers (Bottom of Page)"/>
            <w:docPartUnique/>
          </w:docPartObj>
        </w:sdtPr>
        <w:sdtContent>
          <w:p w:rsidR="00E3261D" w:rsidRDefault="00EA5523" w:rsidP="00EA5523">
            <w:pPr>
              <w:pStyle w:val="Footer"/>
              <w:jc w:val="right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ab/>
              <w:t>18 February 2013</w:t>
            </w:r>
          </w:p>
        </w:sdtContent>
      </w:sdt>
    </w:sdtContent>
  </w:sdt>
  <w:p w:rsidR="00E3261D" w:rsidRDefault="00E326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61D" w:rsidRDefault="00E3261D" w:rsidP="00815D9C">
      <w:pPr>
        <w:spacing w:after="0" w:line="240" w:lineRule="auto"/>
      </w:pPr>
      <w:r>
        <w:separator/>
      </w:r>
    </w:p>
  </w:footnote>
  <w:footnote w:type="continuationSeparator" w:id="0">
    <w:p w:rsidR="00E3261D" w:rsidRDefault="00E3261D" w:rsidP="0081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1D" w:rsidRPr="00F35F3E" w:rsidRDefault="00E3261D" w:rsidP="00815D9C">
    <w:pPr>
      <w:pStyle w:val="Header"/>
      <w:pBdr>
        <w:bottom w:val="double" w:sz="4" w:space="1" w:color="808080"/>
      </w:pBdr>
      <w:tabs>
        <w:tab w:val="clear" w:pos="8640"/>
        <w:tab w:val="right" w:pos="9360"/>
      </w:tabs>
      <w:rPr>
        <w:rFonts w:ascii="Garamond" w:hAnsi="Garamond"/>
        <w:sz w:val="20"/>
        <w:szCs w:val="20"/>
        <w:lang w:eastAsia="ja-JP"/>
      </w:rPr>
    </w:pPr>
    <w:r w:rsidRPr="00F35F3E">
      <w:rPr>
        <w:rFonts w:ascii="Garamond" w:hAnsi="Garamond"/>
        <w:sz w:val="20"/>
        <w:szCs w:val="20"/>
        <w:lang w:eastAsia="ja-JP"/>
      </w:rPr>
      <w:t>APEC Energ</w:t>
    </w:r>
    <w:r>
      <w:rPr>
        <w:rFonts w:ascii="Garamond" w:hAnsi="Garamond"/>
        <w:sz w:val="20"/>
        <w:szCs w:val="20"/>
        <w:lang w:eastAsia="ja-JP"/>
      </w:rPr>
      <w:t>y Demand and Supply Outlook – 5</w:t>
    </w:r>
    <w:r w:rsidRPr="00024511">
      <w:rPr>
        <w:rFonts w:ascii="Garamond" w:hAnsi="Garamond"/>
        <w:sz w:val="20"/>
        <w:szCs w:val="20"/>
        <w:lang w:eastAsia="ja-JP"/>
      </w:rPr>
      <w:t>th</w:t>
    </w:r>
    <w:r>
      <w:rPr>
        <w:rFonts w:ascii="Garamond" w:hAnsi="Garamond"/>
        <w:sz w:val="20"/>
        <w:szCs w:val="20"/>
        <w:lang w:eastAsia="ja-JP"/>
      </w:rPr>
      <w:t xml:space="preserve"> edition </w:t>
    </w:r>
    <w:r>
      <w:rPr>
        <w:rFonts w:ascii="Garamond" w:hAnsi="Garamond"/>
        <w:sz w:val="20"/>
        <w:szCs w:val="20"/>
        <w:lang w:eastAsia="ja-JP"/>
      </w:rPr>
      <w:tab/>
      <w:t xml:space="preserve">Transport </w:t>
    </w:r>
    <w:r w:rsidR="00F66A70">
      <w:rPr>
        <w:rFonts w:ascii="Garamond" w:hAnsi="Garamond"/>
        <w:sz w:val="20"/>
        <w:szCs w:val="20"/>
        <w:lang w:eastAsia="ja-JP"/>
      </w:rPr>
      <w:t>Detailed Results Tables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F5605"/>
    <w:multiLevelType w:val="hybridMultilevel"/>
    <w:tmpl w:val="753ABCFC"/>
    <w:lvl w:ilvl="0" w:tplc="7974D9BC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3844"/>
    <w:rsid w:val="000D4AA1"/>
    <w:rsid w:val="000E2AA9"/>
    <w:rsid w:val="00253C05"/>
    <w:rsid w:val="002E5F3B"/>
    <w:rsid w:val="00452966"/>
    <w:rsid w:val="00453358"/>
    <w:rsid w:val="004D0225"/>
    <w:rsid w:val="004E1E65"/>
    <w:rsid w:val="00577891"/>
    <w:rsid w:val="005F7EEA"/>
    <w:rsid w:val="00674C12"/>
    <w:rsid w:val="00693A7F"/>
    <w:rsid w:val="006A5030"/>
    <w:rsid w:val="006C3D39"/>
    <w:rsid w:val="006D50F2"/>
    <w:rsid w:val="00796508"/>
    <w:rsid w:val="007D3327"/>
    <w:rsid w:val="00815D9C"/>
    <w:rsid w:val="00823BD2"/>
    <w:rsid w:val="0085669A"/>
    <w:rsid w:val="00856EFE"/>
    <w:rsid w:val="00954B79"/>
    <w:rsid w:val="009C3844"/>
    <w:rsid w:val="009E297D"/>
    <w:rsid w:val="00A05A8C"/>
    <w:rsid w:val="00A679FD"/>
    <w:rsid w:val="00A76D48"/>
    <w:rsid w:val="00B34C56"/>
    <w:rsid w:val="00BA26B3"/>
    <w:rsid w:val="00BC73A1"/>
    <w:rsid w:val="00BD36CA"/>
    <w:rsid w:val="00C01DA1"/>
    <w:rsid w:val="00C44793"/>
    <w:rsid w:val="00C60913"/>
    <w:rsid w:val="00D03DEE"/>
    <w:rsid w:val="00D32F3F"/>
    <w:rsid w:val="00DA6A3B"/>
    <w:rsid w:val="00DE43FE"/>
    <w:rsid w:val="00E3261D"/>
    <w:rsid w:val="00E43F89"/>
    <w:rsid w:val="00EA5523"/>
    <w:rsid w:val="00EB74F4"/>
    <w:rsid w:val="00ED3D22"/>
    <w:rsid w:val="00F660C5"/>
    <w:rsid w:val="00F66A70"/>
    <w:rsid w:val="00FF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79"/>
  </w:style>
  <w:style w:type="paragraph" w:styleId="Heading1">
    <w:name w:val="heading 1"/>
    <w:basedOn w:val="Normal"/>
    <w:next w:val="Normal"/>
    <w:link w:val="Heading1Char"/>
    <w:qFormat/>
    <w:rsid w:val="006C3D39"/>
    <w:pPr>
      <w:keepNext/>
      <w:spacing w:after="0" w:line="240" w:lineRule="auto"/>
      <w:jc w:val="both"/>
      <w:outlineLvl w:val="0"/>
    </w:pPr>
    <w:rPr>
      <w:rFonts w:ascii="Arial" w:eastAsia="MS Gothic" w:hAnsi="Arial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C3D39"/>
    <w:pPr>
      <w:keepNext/>
      <w:spacing w:before="60" w:after="60" w:line="240" w:lineRule="auto"/>
      <w:jc w:val="center"/>
      <w:outlineLvl w:val="1"/>
    </w:pPr>
    <w:rPr>
      <w:rFonts w:ascii="Arial" w:eastAsia="SimSun" w:hAnsi="Arial" w:cs="Arial"/>
      <w:b/>
      <w:bCs/>
      <w:iCs/>
      <w:smallCaps/>
      <w:sz w:val="20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6C3D39"/>
    <w:pPr>
      <w:keepNext/>
      <w:keepLines/>
      <w:spacing w:after="180" w:line="240" w:lineRule="atLeast"/>
      <w:outlineLvl w:val="2"/>
    </w:pPr>
    <w:rPr>
      <w:rFonts w:ascii="Garamond" w:eastAsia="MS Mincho" w:hAnsi="Garamond" w:cs="Times New Roman"/>
      <w:caps/>
      <w:color w:val="003399"/>
      <w:kern w:val="20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3D39"/>
    <w:rPr>
      <w:rFonts w:ascii="Arial" w:eastAsia="MS Gothic" w:hAnsi="Arial" w:cs="Times New Roman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6C3D39"/>
    <w:rPr>
      <w:rFonts w:ascii="Arial" w:eastAsia="SimSun" w:hAnsi="Arial" w:cs="Arial"/>
      <w:b/>
      <w:bCs/>
      <w:iCs/>
      <w:smallCaps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6C3D39"/>
    <w:rPr>
      <w:rFonts w:ascii="Garamond" w:eastAsia="MS Mincho" w:hAnsi="Garamond" w:cs="Times New Roman"/>
      <w:caps/>
      <w:color w:val="003399"/>
      <w:kern w:val="20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rsid w:val="006C3D39"/>
    <w:pPr>
      <w:spacing w:after="120" w:line="240" w:lineRule="atLeast"/>
      <w:ind w:firstLine="357"/>
      <w:jc w:val="both"/>
    </w:pPr>
    <w:rPr>
      <w:rFonts w:ascii="Garamond" w:eastAsia="MS Mincho" w:hAnsi="Garamond" w:cs="Times New Roman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6C3D39"/>
    <w:rPr>
      <w:rFonts w:ascii="Garamond" w:eastAsia="MS Mincho" w:hAnsi="Garamond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rsid w:val="006C3D39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SimSun" w:hAnsi="Arial" w:cs="Times New Roman"/>
      <w:sz w:val="16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6C3D39"/>
    <w:rPr>
      <w:rFonts w:ascii="Arial" w:eastAsia="SimSun" w:hAnsi="Arial" w:cs="Times New Roman"/>
      <w:sz w:val="16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6C3D39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SimSun" w:hAnsi="Arial" w:cs="Times New Roman"/>
      <w:sz w:val="16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C3D39"/>
    <w:rPr>
      <w:rFonts w:ascii="Arial" w:eastAsia="SimSun" w:hAnsi="Arial" w:cs="Times New Roman"/>
      <w:sz w:val="16"/>
      <w:szCs w:val="24"/>
      <w:lang w:eastAsia="zh-CN"/>
    </w:rPr>
  </w:style>
  <w:style w:type="paragraph" w:styleId="BodyText2">
    <w:name w:val="Body Text 2"/>
    <w:basedOn w:val="Normal"/>
    <w:link w:val="BodyText2Char"/>
    <w:uiPriority w:val="99"/>
    <w:rsid w:val="006C3D39"/>
    <w:pPr>
      <w:spacing w:after="120" w:line="240" w:lineRule="atLeast"/>
      <w:ind w:firstLine="357"/>
      <w:jc w:val="both"/>
    </w:pPr>
    <w:rPr>
      <w:rFonts w:ascii="Garamond" w:eastAsia="MS Mincho" w:hAnsi="Garamond" w:cs="Times New Roman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C3D39"/>
    <w:rPr>
      <w:rFonts w:ascii="Garamond" w:eastAsia="MS Mincho" w:hAnsi="Garamond" w:cs="Times New Roman"/>
      <w:szCs w:val="20"/>
      <w:lang w:val="en-GB" w:eastAsia="en-US"/>
    </w:rPr>
  </w:style>
  <w:style w:type="character" w:styleId="Hyperlink">
    <w:name w:val="Hyperlink"/>
    <w:basedOn w:val="DefaultParagraphFont"/>
    <w:rsid w:val="006C3D3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6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5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508"/>
    <w:rPr>
      <w:b/>
      <w:bCs/>
    </w:rPr>
  </w:style>
  <w:style w:type="paragraph" w:styleId="Revision">
    <w:name w:val="Revision"/>
    <w:hidden/>
    <w:uiPriority w:val="99"/>
    <w:semiHidden/>
    <w:rsid w:val="007965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0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A5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leaver</dc:creator>
  <cp:keywords/>
  <dc:description/>
  <cp:lastModifiedBy>samuelson</cp:lastModifiedBy>
  <cp:revision>7</cp:revision>
  <cp:lastPrinted>2013-02-07T07:06:00Z</cp:lastPrinted>
  <dcterms:created xsi:type="dcterms:W3CDTF">2013-02-14T07:26:00Z</dcterms:created>
  <dcterms:modified xsi:type="dcterms:W3CDTF">2013-02-18T01:19:00Z</dcterms:modified>
</cp:coreProperties>
</file>